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E4" w:rsidRPr="00B773DD" w:rsidRDefault="001D36A5">
      <w:pPr>
        <w:rPr>
          <w:b/>
        </w:rPr>
      </w:pPr>
      <w:r w:rsidRPr="00B773DD">
        <w:rPr>
          <w:b/>
        </w:rPr>
        <w:t>ALA 1.1</w:t>
      </w:r>
      <w:r w:rsidR="00F73F8B">
        <w:rPr>
          <w:b/>
        </w:rPr>
        <w:t xml:space="preserve"> Characteristics of main types of v</w:t>
      </w:r>
      <w:bookmarkStart w:id="0" w:name="_GoBack"/>
      <w:bookmarkEnd w:id="0"/>
      <w:r w:rsidR="00F73F8B">
        <w:rPr>
          <w:b/>
        </w:rPr>
        <w:t>arieties</w:t>
      </w:r>
    </w:p>
    <w:p w:rsidR="0096409C" w:rsidRPr="00817C2F" w:rsidRDefault="0096409C" w:rsidP="00817C2F">
      <w:pPr>
        <w:jc w:val="both"/>
        <w:rPr>
          <w:b/>
        </w:rPr>
      </w:pPr>
      <w:r w:rsidRPr="00817C2F">
        <w:rPr>
          <w:b/>
        </w:rPr>
        <w:t>Prerequisites</w:t>
      </w:r>
    </w:p>
    <w:p w:rsidR="0096409C" w:rsidRDefault="00B773DD" w:rsidP="00817C2F">
      <w:pPr>
        <w:jc w:val="both"/>
      </w:pPr>
      <w:proofErr w:type="gramStart"/>
      <w:r>
        <w:t>eModules_1-5</w:t>
      </w:r>
      <w:proofErr w:type="gramEnd"/>
      <w:r>
        <w:t xml:space="preserve"> in Principles of Plant Breeding and Crop Improvement</w:t>
      </w:r>
    </w:p>
    <w:p w:rsidR="0096409C" w:rsidRPr="00817C2F" w:rsidRDefault="00B773DD" w:rsidP="00817C2F">
      <w:pPr>
        <w:jc w:val="both"/>
        <w:rPr>
          <w:b/>
        </w:rPr>
      </w:pPr>
      <w:r w:rsidRPr="00817C2F">
        <w:rPr>
          <w:b/>
        </w:rPr>
        <w:t>Purpose</w:t>
      </w:r>
    </w:p>
    <w:p w:rsidR="0096409C" w:rsidRDefault="00817C2F" w:rsidP="00817C2F">
      <w:pPr>
        <w:pStyle w:val="ListParagraph"/>
        <w:numPr>
          <w:ilvl w:val="0"/>
          <w:numId w:val="3"/>
        </w:numPr>
        <w:jc w:val="both"/>
      </w:pPr>
      <w:r>
        <w:t>Reinforcement of intuitive u</w:t>
      </w:r>
      <w:r w:rsidR="00B773DD">
        <w:t>nder</w:t>
      </w:r>
      <w:r>
        <w:t>standing of the major discriminating features of the four main types of varieties:</w:t>
      </w:r>
      <w:r w:rsidR="005E5E65">
        <w:t xml:space="preserve"> </w:t>
      </w:r>
      <w:r>
        <w:t>clone, line, population</w:t>
      </w:r>
      <w:r w:rsidR="005E5E65">
        <w:t>, and</w:t>
      </w:r>
      <w:r w:rsidR="005E5E65" w:rsidRPr="005E5E65">
        <w:t xml:space="preserve"> </w:t>
      </w:r>
      <w:r w:rsidR="005E5E65">
        <w:t>hybrid</w:t>
      </w:r>
      <w:r>
        <w:t xml:space="preserve"> varieties.</w:t>
      </w:r>
    </w:p>
    <w:p w:rsidR="00817C2F" w:rsidRDefault="00817C2F" w:rsidP="00817C2F">
      <w:pPr>
        <w:pStyle w:val="ListParagraph"/>
        <w:jc w:val="both"/>
      </w:pPr>
    </w:p>
    <w:p w:rsidR="00817C2F" w:rsidRPr="00817C2F" w:rsidRDefault="00817C2F" w:rsidP="00817C2F">
      <w:pPr>
        <w:jc w:val="both"/>
        <w:rPr>
          <w:b/>
        </w:rPr>
      </w:pPr>
      <w:r w:rsidRPr="00817C2F">
        <w:rPr>
          <w:b/>
        </w:rPr>
        <w:t>Background</w:t>
      </w:r>
    </w:p>
    <w:p w:rsidR="00817C2F" w:rsidRPr="00817C2F" w:rsidRDefault="00817C2F" w:rsidP="00817C2F">
      <w:pPr>
        <w:jc w:val="both"/>
      </w:pPr>
      <w:r w:rsidRPr="00817C2F">
        <w:t>The essence of</w:t>
      </w:r>
      <w:r>
        <w:t xml:space="preserve"> breeding</w:t>
      </w:r>
      <w:r w:rsidR="00F73F8B">
        <w:t xml:space="preserve"> methodology is to understand</w:t>
      </w:r>
      <w:r>
        <w:t xml:space="preserve"> the mai</w:t>
      </w:r>
      <w:r w:rsidR="00F73F8B">
        <w:t>n features of variety types. The</w:t>
      </w:r>
      <w:r>
        <w:t xml:space="preserve">se features </w:t>
      </w:r>
      <w:proofErr w:type="gramStart"/>
      <w:r>
        <w:t>determine,</w:t>
      </w:r>
      <w:proofErr w:type="gramEnd"/>
      <w:r>
        <w:t xml:space="preserve"> which conventional or molecular methods can or cannot be used.</w:t>
      </w:r>
    </w:p>
    <w:p w:rsidR="0096409C" w:rsidRPr="00817C2F" w:rsidRDefault="0096409C" w:rsidP="00817C2F">
      <w:pPr>
        <w:jc w:val="both"/>
        <w:rPr>
          <w:b/>
        </w:rPr>
      </w:pPr>
      <w:r w:rsidRPr="00817C2F">
        <w:rPr>
          <w:b/>
        </w:rPr>
        <w:t>Tasks</w:t>
      </w:r>
    </w:p>
    <w:p w:rsidR="0096409C" w:rsidRDefault="00817C2F" w:rsidP="00817C2F">
      <w:pPr>
        <w:pStyle w:val="ListParagraph"/>
        <w:numPr>
          <w:ilvl w:val="0"/>
          <w:numId w:val="5"/>
        </w:numPr>
        <w:jc w:val="both"/>
      </w:pPr>
      <w:r>
        <w:t>Fill out the correct terms in Table 1 below.</w:t>
      </w:r>
    </w:p>
    <w:p w:rsidR="00817C2F" w:rsidRDefault="00817C2F" w:rsidP="00817C2F">
      <w:pPr>
        <w:pStyle w:val="ListParagraph"/>
        <w:numPr>
          <w:ilvl w:val="0"/>
          <w:numId w:val="5"/>
        </w:numPr>
        <w:jc w:val="both"/>
      </w:pPr>
      <w:r>
        <w:t xml:space="preserve">Discuss for each of the four features, which of the variety types has advantageous or disadvantageous properties. </w:t>
      </w:r>
      <w:proofErr w:type="gramStart"/>
      <w:r>
        <w:t>Note,</w:t>
      </w:r>
      <w:proofErr w:type="gramEnd"/>
      <w:r>
        <w:t xml:space="preserve"> that this might differ </w:t>
      </w:r>
      <w:r w:rsidR="00F73F8B">
        <w:t>depending on the perspective (</w:t>
      </w:r>
      <w:r>
        <w:t>plant breeders</w:t>
      </w:r>
      <w:r w:rsidR="00F73F8B">
        <w:t xml:space="preserve">, </w:t>
      </w:r>
      <w:r>
        <w:t>farmers</w:t>
      </w:r>
      <w:r w:rsidR="00F73F8B">
        <w:t>)</w:t>
      </w:r>
      <w:r>
        <w:t>.</w:t>
      </w:r>
    </w:p>
    <w:p w:rsidR="00A665D1" w:rsidRDefault="00A665D1" w:rsidP="00817C2F">
      <w:pPr>
        <w:pStyle w:val="ListParagraph"/>
        <w:numPr>
          <w:ilvl w:val="0"/>
          <w:numId w:val="5"/>
        </w:numPr>
        <w:jc w:val="both"/>
      </w:pPr>
      <w:r>
        <w:rPr>
          <w:rFonts w:eastAsia="Times New Roman"/>
        </w:rPr>
        <w:t>In what circumstance could uniformity of varieties not be seen as an advantage?</w:t>
      </w:r>
    </w:p>
    <w:p w:rsidR="00A665D1" w:rsidRPr="00A665D1" w:rsidRDefault="00A665D1" w:rsidP="00817C2F">
      <w:pPr>
        <w:pStyle w:val="ListParagraph"/>
        <w:numPr>
          <w:ilvl w:val="0"/>
          <w:numId w:val="5"/>
        </w:numPr>
        <w:jc w:val="both"/>
      </w:pPr>
      <w:r>
        <w:rPr>
          <w:rFonts w:eastAsia="Times New Roman"/>
        </w:rPr>
        <w:t xml:space="preserve">How can the ability to reproduce varieties be favorable to farmers, yet undesirable for plant </w:t>
      </w:r>
      <w:proofErr w:type="gramStart"/>
      <w:r>
        <w:rPr>
          <w:rFonts w:eastAsia="Times New Roman"/>
        </w:rPr>
        <w:t>breeders</w:t>
      </w:r>
      <w:r>
        <w:rPr>
          <w:rFonts w:eastAsia="Times New Roman"/>
        </w:rPr>
        <w:t xml:space="preserve"> ?</w:t>
      </w:r>
      <w:proofErr w:type="gramEnd"/>
    </w:p>
    <w:p w:rsidR="00A665D1" w:rsidRDefault="00A665D1" w:rsidP="00817C2F">
      <w:pPr>
        <w:pStyle w:val="ListParagraph"/>
        <w:numPr>
          <w:ilvl w:val="0"/>
          <w:numId w:val="5"/>
        </w:numPr>
        <w:jc w:val="both"/>
      </w:pPr>
      <w:r>
        <w:rPr>
          <w:rFonts w:eastAsia="Times New Roman"/>
        </w:rPr>
        <w:t xml:space="preserve">The mode of reproduction impacts to a large degree, which type of variety is most convenient for a given crop species. What is needed to transition a particular species from one to another type of </w:t>
      </w:r>
      <w:proofErr w:type="gramStart"/>
      <w:r>
        <w:rPr>
          <w:rFonts w:eastAsia="Times New Roman"/>
        </w:rPr>
        <w:t>variety ?</w:t>
      </w:r>
      <w:proofErr w:type="gramEnd"/>
      <w:r w:rsidR="00AE7FDE">
        <w:rPr>
          <w:rFonts w:eastAsia="Times New Roman"/>
        </w:rPr>
        <w:t xml:space="preserve"> Do you know </w:t>
      </w:r>
      <w:proofErr w:type="gramStart"/>
      <w:r w:rsidR="00AE7FDE">
        <w:rPr>
          <w:rFonts w:eastAsia="Times New Roman"/>
        </w:rPr>
        <w:t>examples ?</w:t>
      </w:r>
      <w:proofErr w:type="gramEnd"/>
      <w:r w:rsidR="00AE7FDE">
        <w:rPr>
          <w:rFonts w:eastAsia="Times New Roman"/>
        </w:rPr>
        <w:t xml:space="preserve"> What is the rationale for transitioning to another variety </w:t>
      </w:r>
      <w:proofErr w:type="gramStart"/>
      <w:r w:rsidR="00AE7FDE">
        <w:rPr>
          <w:rFonts w:eastAsia="Times New Roman"/>
        </w:rPr>
        <w:t>type ?</w:t>
      </w:r>
      <w:proofErr w:type="gramEnd"/>
    </w:p>
    <w:p w:rsidR="00817C2F" w:rsidRDefault="00817C2F" w:rsidP="00817C2F">
      <w:pPr>
        <w:pStyle w:val="ListParagraph"/>
        <w:numPr>
          <w:ilvl w:val="0"/>
          <w:numId w:val="5"/>
        </w:numPr>
        <w:jc w:val="both"/>
      </w:pPr>
      <w:r>
        <w:t xml:space="preserve">Table 1 highlights differences between the four main types of varieties. What do all four types of varieties have in </w:t>
      </w:r>
      <w:proofErr w:type="gramStart"/>
      <w:r>
        <w:t>common ?</w:t>
      </w:r>
      <w:proofErr w:type="gramEnd"/>
    </w:p>
    <w:p w:rsidR="00F73F8B" w:rsidRDefault="00F73F8B" w:rsidP="00817C2F">
      <w:pPr>
        <w:spacing w:after="0" w:line="240" w:lineRule="auto"/>
        <w:rPr>
          <w:rFonts w:cstheme="minorHAnsi"/>
          <w:b/>
        </w:rPr>
      </w:pPr>
    </w:p>
    <w:p w:rsidR="00817C2F" w:rsidRDefault="00817C2F" w:rsidP="00817C2F">
      <w:pPr>
        <w:spacing w:after="0" w:line="240" w:lineRule="auto"/>
        <w:rPr>
          <w:rFonts w:cstheme="minorHAnsi"/>
        </w:rPr>
      </w:pPr>
      <w:proofErr w:type="gramStart"/>
      <w:r w:rsidRPr="00817C2F">
        <w:rPr>
          <w:rFonts w:cstheme="minorHAnsi"/>
          <w:b/>
        </w:rPr>
        <w:t>Table 1.</w:t>
      </w:r>
      <w:proofErr w:type="gramEnd"/>
      <w:r w:rsidRPr="00817C2F">
        <w:rPr>
          <w:rFonts w:cstheme="minorHAnsi"/>
          <w:b/>
        </w:rPr>
        <w:t xml:space="preserve"> </w:t>
      </w:r>
      <w:proofErr w:type="gramStart"/>
      <w:r w:rsidR="00F73F8B">
        <w:rPr>
          <w:rFonts w:cstheme="minorHAnsi"/>
        </w:rPr>
        <w:t>M</w:t>
      </w:r>
      <w:r w:rsidRPr="00817C2F">
        <w:rPr>
          <w:rFonts w:cstheme="minorHAnsi"/>
        </w:rPr>
        <w:t>odes of pr</w:t>
      </w:r>
      <w:r w:rsidR="00F73F8B">
        <w:rPr>
          <w:rFonts w:cstheme="minorHAnsi"/>
        </w:rPr>
        <w:t>opagation and genetic structure</w:t>
      </w:r>
      <w:r w:rsidRPr="00817C2F">
        <w:rPr>
          <w:rFonts w:cstheme="minorHAnsi"/>
        </w:rPr>
        <w:t xml:space="preserve"> of</w:t>
      </w:r>
      <w:r w:rsidR="00F73F8B">
        <w:rPr>
          <w:rFonts w:cstheme="minorHAnsi"/>
        </w:rPr>
        <w:t xml:space="preserve"> four main types of</w:t>
      </w:r>
      <w:r w:rsidRPr="00817C2F">
        <w:rPr>
          <w:rFonts w:cstheme="minorHAnsi"/>
        </w:rPr>
        <w:t xml:space="preserve"> varieties</w:t>
      </w:r>
      <w:r w:rsidR="00F73F8B">
        <w:rPr>
          <w:rFonts w:cstheme="minorHAnsi"/>
        </w:rPr>
        <w:t>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1767"/>
        <w:gridCol w:w="1915"/>
        <w:gridCol w:w="1916"/>
      </w:tblGrid>
      <w:tr w:rsidR="00F73F8B" w:rsidTr="00F73F8B">
        <w:tc>
          <w:tcPr>
            <w:tcW w:w="2178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7398" w:type="dxa"/>
            <w:gridSpan w:val="4"/>
          </w:tcPr>
          <w:p w:rsidR="00F73F8B" w:rsidRPr="00F73F8B" w:rsidRDefault="00F73F8B" w:rsidP="00F73F8B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Type of Variety</w:t>
            </w:r>
          </w:p>
        </w:tc>
      </w:tr>
      <w:tr w:rsidR="00F73F8B" w:rsidTr="00F73F8B">
        <w:tc>
          <w:tcPr>
            <w:tcW w:w="2178" w:type="dxa"/>
          </w:tcPr>
          <w:p w:rsidR="00F73F8B" w:rsidRPr="00F73F8B" w:rsidRDefault="00F73F8B" w:rsidP="00817C2F">
            <w:pPr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Features</w:t>
            </w:r>
          </w:p>
        </w:tc>
        <w:tc>
          <w:tcPr>
            <w:tcW w:w="1800" w:type="dxa"/>
          </w:tcPr>
          <w:p w:rsidR="00F73F8B" w:rsidRPr="00F73F8B" w:rsidRDefault="00F73F8B" w:rsidP="00F73F8B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Clone</w:t>
            </w:r>
          </w:p>
        </w:tc>
        <w:tc>
          <w:tcPr>
            <w:tcW w:w="1767" w:type="dxa"/>
          </w:tcPr>
          <w:p w:rsidR="00F73F8B" w:rsidRPr="00F73F8B" w:rsidRDefault="00F73F8B" w:rsidP="00F73F8B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Line</w:t>
            </w:r>
          </w:p>
        </w:tc>
        <w:tc>
          <w:tcPr>
            <w:tcW w:w="1915" w:type="dxa"/>
          </w:tcPr>
          <w:p w:rsidR="00F73F8B" w:rsidRPr="00F73F8B" w:rsidRDefault="00F73F8B" w:rsidP="00F73F8B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Population</w:t>
            </w:r>
          </w:p>
        </w:tc>
        <w:tc>
          <w:tcPr>
            <w:tcW w:w="1916" w:type="dxa"/>
          </w:tcPr>
          <w:p w:rsidR="00F73F8B" w:rsidRPr="00F73F8B" w:rsidRDefault="00F73F8B" w:rsidP="00F73F8B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Hybrid</w:t>
            </w:r>
          </w:p>
        </w:tc>
      </w:tr>
      <w:tr w:rsidR="00F73F8B" w:rsidTr="00F73F8B">
        <w:tc>
          <w:tcPr>
            <w:tcW w:w="2178" w:type="dxa"/>
          </w:tcPr>
          <w:p w:rsidR="00F73F8B" w:rsidRDefault="00F73F8B" w:rsidP="00817C2F">
            <w:pPr>
              <w:rPr>
                <w:rFonts w:cstheme="minorHAnsi"/>
              </w:rPr>
            </w:pPr>
            <w:r>
              <w:rPr>
                <w:rFonts w:cstheme="minorHAnsi"/>
              </w:rPr>
              <w:t>Mode of propagation</w:t>
            </w:r>
          </w:p>
          <w:p w:rsidR="00F73F8B" w:rsidRDefault="00F73F8B" w:rsidP="00817C2F">
            <w:pPr>
              <w:rPr>
                <w:rFonts w:cstheme="minorHAnsi"/>
              </w:rPr>
            </w:pPr>
            <w:r>
              <w:rPr>
                <w:rFonts w:cstheme="minorHAnsi"/>
              </w:rPr>
              <w:t>(sexual, asexual)</w:t>
            </w:r>
          </w:p>
        </w:tc>
        <w:tc>
          <w:tcPr>
            <w:tcW w:w="1800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6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</w:tr>
      <w:tr w:rsidR="00F73F8B" w:rsidTr="00F73F8B">
        <w:tc>
          <w:tcPr>
            <w:tcW w:w="2178" w:type="dxa"/>
          </w:tcPr>
          <w:p w:rsidR="00F73F8B" w:rsidRDefault="00F73F8B" w:rsidP="00817C2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Heterozygosity</w:t>
            </w:r>
            <w:proofErr w:type="spellEnd"/>
          </w:p>
        </w:tc>
        <w:tc>
          <w:tcPr>
            <w:tcW w:w="1800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6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</w:tr>
      <w:tr w:rsidR="00F73F8B" w:rsidTr="00F73F8B">
        <w:tc>
          <w:tcPr>
            <w:tcW w:w="2178" w:type="dxa"/>
          </w:tcPr>
          <w:p w:rsidR="00F73F8B" w:rsidRDefault="00F73F8B" w:rsidP="00817C2F">
            <w:pPr>
              <w:rPr>
                <w:rFonts w:cstheme="minorHAnsi"/>
              </w:rPr>
            </w:pPr>
            <w:r>
              <w:rPr>
                <w:rFonts w:cstheme="minorHAnsi"/>
              </w:rPr>
              <w:t>Heterogeneity</w:t>
            </w:r>
          </w:p>
        </w:tc>
        <w:tc>
          <w:tcPr>
            <w:tcW w:w="1800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6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</w:tr>
      <w:tr w:rsidR="00F73F8B" w:rsidTr="00F73F8B">
        <w:tc>
          <w:tcPr>
            <w:tcW w:w="2178" w:type="dxa"/>
          </w:tcPr>
          <w:p w:rsidR="00F73F8B" w:rsidRDefault="00F73F8B" w:rsidP="00817C2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Reproduction by farmer </w:t>
            </w:r>
            <w:proofErr w:type="gramStart"/>
            <w:r>
              <w:rPr>
                <w:rFonts w:cstheme="minorHAnsi"/>
              </w:rPr>
              <w:t>possible ?</w:t>
            </w:r>
            <w:proofErr w:type="gramEnd"/>
          </w:p>
        </w:tc>
        <w:tc>
          <w:tcPr>
            <w:tcW w:w="1800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767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5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  <w:tc>
          <w:tcPr>
            <w:tcW w:w="1916" w:type="dxa"/>
          </w:tcPr>
          <w:p w:rsidR="00F73F8B" w:rsidRDefault="00F73F8B" w:rsidP="00817C2F">
            <w:pPr>
              <w:rPr>
                <w:rFonts w:cstheme="minorHAnsi"/>
              </w:rPr>
            </w:pPr>
          </w:p>
        </w:tc>
      </w:tr>
    </w:tbl>
    <w:p w:rsidR="00F73F8B" w:rsidRPr="00817C2F" w:rsidRDefault="00F73F8B" w:rsidP="00817C2F">
      <w:pPr>
        <w:spacing w:after="0" w:line="240" w:lineRule="auto"/>
        <w:rPr>
          <w:rFonts w:cstheme="minorHAnsi"/>
        </w:rPr>
      </w:pPr>
    </w:p>
    <w:p w:rsidR="00817C2F" w:rsidRDefault="00817C2F" w:rsidP="00817C2F"/>
    <w:p w:rsidR="00BA6D82" w:rsidRDefault="00BA6D82" w:rsidP="00817C2F"/>
    <w:p w:rsidR="00BA6D82" w:rsidRDefault="00BA6D82" w:rsidP="00817C2F"/>
    <w:p w:rsidR="00BA6D82" w:rsidRDefault="00BA6D82" w:rsidP="00817C2F">
      <w:r w:rsidRPr="00BA6D82">
        <w:rPr>
          <w:b/>
        </w:rPr>
        <w:lastRenderedPageBreak/>
        <w:t>Tentative answers</w:t>
      </w:r>
      <w:r>
        <w:t xml:space="preserve"> (can differ, based on context / assumptions made)</w:t>
      </w:r>
    </w:p>
    <w:p w:rsidR="00BA6D82" w:rsidRDefault="00BA6D82" w:rsidP="00AE7FDE">
      <w:pPr>
        <w:pStyle w:val="ListParagraph"/>
        <w:numPr>
          <w:ilvl w:val="0"/>
          <w:numId w:val="6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800"/>
        <w:gridCol w:w="1767"/>
        <w:gridCol w:w="1915"/>
        <w:gridCol w:w="1916"/>
      </w:tblGrid>
      <w:tr w:rsidR="008869EB" w:rsidTr="00EB4A34">
        <w:tc>
          <w:tcPr>
            <w:tcW w:w="2178" w:type="dxa"/>
          </w:tcPr>
          <w:p w:rsidR="008869EB" w:rsidRDefault="008869EB" w:rsidP="00EB4A34">
            <w:pPr>
              <w:rPr>
                <w:rFonts w:cstheme="minorHAnsi"/>
              </w:rPr>
            </w:pPr>
          </w:p>
        </w:tc>
        <w:tc>
          <w:tcPr>
            <w:tcW w:w="7398" w:type="dxa"/>
            <w:gridSpan w:val="4"/>
          </w:tcPr>
          <w:p w:rsidR="008869EB" w:rsidRPr="00F73F8B" w:rsidRDefault="008869EB" w:rsidP="00EB4A34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Type of Variety</w:t>
            </w:r>
          </w:p>
        </w:tc>
      </w:tr>
      <w:tr w:rsidR="008869EB" w:rsidTr="00EB4A34">
        <w:tc>
          <w:tcPr>
            <w:tcW w:w="2178" w:type="dxa"/>
          </w:tcPr>
          <w:p w:rsidR="008869EB" w:rsidRPr="00F73F8B" w:rsidRDefault="008869EB" w:rsidP="00EB4A34">
            <w:pPr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Features</w:t>
            </w:r>
          </w:p>
        </w:tc>
        <w:tc>
          <w:tcPr>
            <w:tcW w:w="1800" w:type="dxa"/>
          </w:tcPr>
          <w:p w:rsidR="008869EB" w:rsidRPr="00F73F8B" w:rsidRDefault="008869EB" w:rsidP="00EB4A34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Clone</w:t>
            </w:r>
          </w:p>
        </w:tc>
        <w:tc>
          <w:tcPr>
            <w:tcW w:w="1767" w:type="dxa"/>
          </w:tcPr>
          <w:p w:rsidR="008869EB" w:rsidRPr="00F73F8B" w:rsidRDefault="008869EB" w:rsidP="00EB4A34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Line</w:t>
            </w:r>
          </w:p>
        </w:tc>
        <w:tc>
          <w:tcPr>
            <w:tcW w:w="1915" w:type="dxa"/>
          </w:tcPr>
          <w:p w:rsidR="008869EB" w:rsidRPr="00F73F8B" w:rsidRDefault="008869EB" w:rsidP="00EB4A34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Population</w:t>
            </w:r>
          </w:p>
        </w:tc>
        <w:tc>
          <w:tcPr>
            <w:tcW w:w="1916" w:type="dxa"/>
          </w:tcPr>
          <w:p w:rsidR="008869EB" w:rsidRPr="00F73F8B" w:rsidRDefault="008869EB" w:rsidP="00EB4A34">
            <w:pPr>
              <w:jc w:val="center"/>
              <w:rPr>
                <w:rFonts w:cstheme="minorHAnsi"/>
                <w:b/>
              </w:rPr>
            </w:pPr>
            <w:r w:rsidRPr="00F73F8B">
              <w:rPr>
                <w:rFonts w:cstheme="minorHAnsi"/>
                <w:b/>
              </w:rPr>
              <w:t>Hybrid</w:t>
            </w:r>
          </w:p>
        </w:tc>
      </w:tr>
      <w:tr w:rsidR="008869EB" w:rsidTr="00EB4A34">
        <w:tc>
          <w:tcPr>
            <w:tcW w:w="2178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Mode of propagation</w:t>
            </w:r>
          </w:p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(sexual, asexual)</w:t>
            </w:r>
          </w:p>
        </w:tc>
        <w:tc>
          <w:tcPr>
            <w:tcW w:w="1800" w:type="dxa"/>
          </w:tcPr>
          <w:p w:rsidR="008869EB" w:rsidRDefault="008869EB" w:rsidP="00EB4A34">
            <w:pPr>
              <w:rPr>
                <w:rFonts w:cstheme="minorHAnsi"/>
              </w:rPr>
            </w:pPr>
            <w:r w:rsidRPr="008869EB">
              <w:rPr>
                <w:rFonts w:cstheme="minorHAnsi"/>
                <w:color w:val="FF0000"/>
              </w:rPr>
              <w:t>Asexual</w:t>
            </w:r>
          </w:p>
        </w:tc>
        <w:tc>
          <w:tcPr>
            <w:tcW w:w="1767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</w:t>
            </w:r>
          </w:p>
        </w:tc>
        <w:tc>
          <w:tcPr>
            <w:tcW w:w="1915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</w:t>
            </w:r>
          </w:p>
        </w:tc>
        <w:tc>
          <w:tcPr>
            <w:tcW w:w="1916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Sexual</w:t>
            </w:r>
          </w:p>
        </w:tc>
      </w:tr>
      <w:tr w:rsidR="008869EB" w:rsidTr="00EB4A34">
        <w:tc>
          <w:tcPr>
            <w:tcW w:w="2178" w:type="dxa"/>
          </w:tcPr>
          <w:p w:rsidR="008869EB" w:rsidRDefault="008869EB" w:rsidP="00EB4A3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Heterozygosity</w:t>
            </w:r>
            <w:proofErr w:type="spellEnd"/>
          </w:p>
        </w:tc>
        <w:tc>
          <w:tcPr>
            <w:tcW w:w="1800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Heterozygous</w:t>
            </w:r>
          </w:p>
        </w:tc>
        <w:tc>
          <w:tcPr>
            <w:tcW w:w="1767" w:type="dxa"/>
          </w:tcPr>
          <w:p w:rsidR="008869EB" w:rsidRDefault="008869EB" w:rsidP="00EB4A34">
            <w:pPr>
              <w:rPr>
                <w:rFonts w:cstheme="minorHAnsi"/>
              </w:rPr>
            </w:pPr>
            <w:r w:rsidRPr="008869EB">
              <w:rPr>
                <w:rFonts w:cstheme="minorHAnsi"/>
                <w:color w:val="FF0000"/>
              </w:rPr>
              <w:t>Homozygous</w:t>
            </w:r>
          </w:p>
        </w:tc>
        <w:tc>
          <w:tcPr>
            <w:tcW w:w="1915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Heterozygous</w:t>
            </w:r>
          </w:p>
        </w:tc>
        <w:tc>
          <w:tcPr>
            <w:tcW w:w="1916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Heterozygous</w:t>
            </w:r>
          </w:p>
        </w:tc>
      </w:tr>
      <w:tr w:rsidR="008869EB" w:rsidTr="00EB4A34">
        <w:tc>
          <w:tcPr>
            <w:tcW w:w="2178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Heterogeneity</w:t>
            </w:r>
          </w:p>
        </w:tc>
        <w:tc>
          <w:tcPr>
            <w:tcW w:w="1800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Homogeneous</w:t>
            </w:r>
          </w:p>
        </w:tc>
        <w:tc>
          <w:tcPr>
            <w:tcW w:w="1767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Homogeneous</w:t>
            </w:r>
          </w:p>
        </w:tc>
        <w:tc>
          <w:tcPr>
            <w:tcW w:w="1915" w:type="dxa"/>
          </w:tcPr>
          <w:p w:rsidR="008869EB" w:rsidRDefault="008869EB" w:rsidP="00EB4A34">
            <w:pPr>
              <w:rPr>
                <w:rFonts w:cstheme="minorHAnsi"/>
              </w:rPr>
            </w:pPr>
            <w:r w:rsidRPr="008869EB">
              <w:rPr>
                <w:rFonts w:cstheme="minorHAnsi"/>
                <w:color w:val="FF0000"/>
              </w:rPr>
              <w:t>Heterogeneous</w:t>
            </w:r>
          </w:p>
        </w:tc>
        <w:tc>
          <w:tcPr>
            <w:tcW w:w="1916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Homogeneous</w:t>
            </w:r>
          </w:p>
        </w:tc>
      </w:tr>
      <w:tr w:rsidR="008869EB" w:rsidTr="00EB4A34">
        <w:tc>
          <w:tcPr>
            <w:tcW w:w="2178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Reproduction by farmer </w:t>
            </w:r>
            <w:proofErr w:type="gramStart"/>
            <w:r>
              <w:rPr>
                <w:rFonts w:cstheme="minorHAnsi"/>
              </w:rPr>
              <w:t>possible ?</w:t>
            </w:r>
            <w:proofErr w:type="gramEnd"/>
          </w:p>
        </w:tc>
        <w:tc>
          <w:tcPr>
            <w:tcW w:w="1800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767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915" w:type="dxa"/>
          </w:tcPr>
          <w:p w:rsidR="008869EB" w:rsidRDefault="008869EB" w:rsidP="00EB4A34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916" w:type="dxa"/>
          </w:tcPr>
          <w:p w:rsidR="008869EB" w:rsidRDefault="008869EB" w:rsidP="00EB4A34">
            <w:pPr>
              <w:rPr>
                <w:rFonts w:cstheme="minorHAnsi"/>
              </w:rPr>
            </w:pPr>
            <w:r w:rsidRPr="008869EB">
              <w:rPr>
                <w:rFonts w:cstheme="minorHAnsi"/>
                <w:color w:val="FF0000"/>
              </w:rPr>
              <w:t>No</w:t>
            </w:r>
          </w:p>
        </w:tc>
      </w:tr>
    </w:tbl>
    <w:p w:rsidR="00BA6D82" w:rsidRDefault="00BA6D82" w:rsidP="00817C2F"/>
    <w:p w:rsidR="008869EB" w:rsidRDefault="008869EB" w:rsidP="008869EB">
      <w:pPr>
        <w:pStyle w:val="ListParagraph"/>
        <w:numPr>
          <w:ilvl w:val="0"/>
          <w:numId w:val="6"/>
        </w:numPr>
      </w:pPr>
      <w:r>
        <w:t xml:space="preserve"> </w:t>
      </w:r>
    </w:p>
    <w:p w:rsidR="008869EB" w:rsidRDefault="008869EB" w:rsidP="008869EB"/>
    <w:p w:rsidR="008869EB" w:rsidRDefault="008869EB" w:rsidP="008869EB">
      <w:r w:rsidRPr="008869EB">
        <w:drawing>
          <wp:inline distT="0" distB="0" distL="0" distR="0" wp14:anchorId="09E240B0" wp14:editId="47D858A8">
            <wp:extent cx="5943600" cy="4424680"/>
            <wp:effectExtent l="0" t="0" r="0" b="0"/>
            <wp:docPr id="430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2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9EB" w:rsidRDefault="008869EB" w:rsidP="008869EB"/>
    <w:p w:rsidR="008869EB" w:rsidRDefault="008869EB" w:rsidP="008869EB"/>
    <w:p w:rsidR="008869EB" w:rsidRDefault="008869EB" w:rsidP="008869EB"/>
    <w:p w:rsidR="008869EB" w:rsidRPr="008869EB" w:rsidRDefault="008869EB" w:rsidP="008869EB">
      <w:pPr>
        <w:pStyle w:val="ListParagraph"/>
        <w:numPr>
          <w:ilvl w:val="0"/>
          <w:numId w:val="6"/>
        </w:numPr>
      </w:pPr>
      <w:r>
        <w:rPr>
          <w:rFonts w:eastAsia="Times New Roman"/>
        </w:rPr>
        <w:lastRenderedPageBreak/>
        <w:t>Uniformity of varieties is generally seen as advantage. However, under low input conditions and/or with high disease pressure, this concept needs in my opinion be questioned. Heterogeneous varieties might not have best performance under optimal conditions, but a better yield stability, as there is a higher chance that at least some genotypes within such a variety tolerate adverse conditions (while a single genotype in uniform varieties might fail completely).</w:t>
      </w:r>
    </w:p>
    <w:p w:rsidR="008869EB" w:rsidRDefault="008869EB" w:rsidP="008869EB"/>
    <w:p w:rsidR="008869EB" w:rsidRPr="008869EB" w:rsidRDefault="008869EB" w:rsidP="008869EB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 xml:space="preserve">The ability to reproduce varieties is favorable for farmers. They can just keep part of the harvest and plant it out next season again. This is undesirable for plant breeders, </w:t>
      </w:r>
      <w:r w:rsidR="008720ED">
        <w:rPr>
          <w:rFonts w:eastAsia="Times New Roman"/>
        </w:rPr>
        <w:t>because they lose control over </w:t>
      </w:r>
      <w:r>
        <w:rPr>
          <w:rFonts w:eastAsia="Times New Roman"/>
        </w:rPr>
        <w:t xml:space="preserve">their variety. Conversely, breeders are quite happy with hybrid varieties, as reproduction leads to inbreeding depression – farmers can only reproduce, while facing reduced performance. Thus, hybrids have a built-in biological protection mechanism from </w:t>
      </w:r>
      <w:proofErr w:type="gramStart"/>
      <w:r>
        <w:rPr>
          <w:rFonts w:eastAsia="Times New Roman"/>
        </w:rPr>
        <w:t>breeders</w:t>
      </w:r>
      <w:proofErr w:type="gramEnd"/>
      <w:r>
        <w:rPr>
          <w:rFonts w:eastAsia="Times New Roman"/>
        </w:rPr>
        <w:t xml:space="preserve"> perspective.</w:t>
      </w:r>
    </w:p>
    <w:p w:rsidR="008869EB" w:rsidRDefault="008869EB" w:rsidP="008869EB">
      <w:pPr>
        <w:pStyle w:val="ListParagraph"/>
      </w:pPr>
    </w:p>
    <w:p w:rsidR="008869EB" w:rsidRPr="008720ED" w:rsidRDefault="008869EB" w:rsidP="008869EB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While species align with variety types based on their mechanism of propagation (</w:t>
      </w:r>
      <w:proofErr w:type="spellStart"/>
      <w:r>
        <w:rPr>
          <w:rFonts w:eastAsia="Times New Roman"/>
        </w:rPr>
        <w:t>self pollinating</w:t>
      </w:r>
      <w:proofErr w:type="spellEnd"/>
      <w:r>
        <w:rPr>
          <w:rFonts w:eastAsia="Times New Roman"/>
        </w:rPr>
        <w:t xml:space="preserve"> species are usually line varieties, </w:t>
      </w:r>
      <w:proofErr w:type="spellStart"/>
      <w:r>
        <w:rPr>
          <w:rFonts w:eastAsia="Times New Roman"/>
        </w:rPr>
        <w:t>vegetatively</w:t>
      </w:r>
      <w:proofErr w:type="spellEnd"/>
      <w:r>
        <w:rPr>
          <w:rFonts w:eastAsia="Times New Roman"/>
        </w:rPr>
        <w:t xml:space="preserve"> propagated species are usually clone varieties), it is possible to move a species from one to another variety type. Standard for maize were population varieties, before it became a hybrid crop. Similarly, rice and wheat (and tomato) are migrating from line to hybrid vari</w:t>
      </w:r>
      <w:r w:rsidR="008720ED">
        <w:rPr>
          <w:rFonts w:eastAsia="Times New Roman"/>
        </w:rPr>
        <w:t>e</w:t>
      </w:r>
      <w:r>
        <w:rPr>
          <w:rFonts w:eastAsia="Times New Roman"/>
        </w:rPr>
        <w:t xml:space="preserve">ties. With efficient in vitro multiplication methods, </w:t>
      </w:r>
      <w:proofErr w:type="gramStart"/>
      <w:r>
        <w:rPr>
          <w:rFonts w:eastAsia="Times New Roman"/>
        </w:rPr>
        <w:t>both self or</w:t>
      </w:r>
      <w:proofErr w:type="gramEnd"/>
      <w:r>
        <w:rPr>
          <w:rFonts w:eastAsia="Times New Roman"/>
        </w:rPr>
        <w:t xml:space="preserve"> foreign pollinating species may be propagated as clone varieties. In short, this can be pursued in a systematic manner, to harness the advantages of a particular type of variety. Could perhaps be of interest for comparatively “young” or orphan crop species – rather than just using the “natural” propagation and type of variety.</w:t>
      </w:r>
      <w:r>
        <w:rPr>
          <w:rFonts w:eastAsia="Times New Roman"/>
        </w:rPr>
        <w:t xml:space="preserve"> In most cases of variety type transition, it is (a) from heterogeneous to </w:t>
      </w:r>
      <w:r>
        <w:rPr>
          <w:rFonts w:eastAsia="Times New Roman"/>
        </w:rPr>
        <w:t>homogeneous</w:t>
      </w:r>
      <w:r>
        <w:rPr>
          <w:rFonts w:eastAsia="Times New Roman"/>
        </w:rPr>
        <w:t xml:space="preserve"> types of varieties to accomplish uniformity (b)</w:t>
      </w:r>
      <w:r w:rsidR="008720ED">
        <w:rPr>
          <w:rFonts w:eastAsia="Times New Roman"/>
        </w:rPr>
        <w:t xml:space="preserve"> or to highly heterozygous variety types to maximize exploitation of hybrid performance and </w:t>
      </w:r>
      <w:proofErr w:type="spellStart"/>
      <w:r w:rsidR="008720ED">
        <w:rPr>
          <w:rFonts w:eastAsia="Times New Roman"/>
        </w:rPr>
        <w:t>heterosis</w:t>
      </w:r>
      <w:proofErr w:type="spellEnd"/>
      <w:r w:rsidR="008720ED">
        <w:rPr>
          <w:rFonts w:eastAsia="Times New Roman"/>
        </w:rPr>
        <w:t xml:space="preserve"> (multiply the one best (heterozygous) genotype). </w:t>
      </w:r>
    </w:p>
    <w:p w:rsidR="008720ED" w:rsidRDefault="008720ED" w:rsidP="008720ED">
      <w:pPr>
        <w:pStyle w:val="ListParagraph"/>
      </w:pPr>
    </w:p>
    <w:p w:rsidR="008720ED" w:rsidRDefault="008720ED" w:rsidP="008869EB">
      <w:pPr>
        <w:pStyle w:val="ListParagraph"/>
        <w:numPr>
          <w:ilvl w:val="0"/>
          <w:numId w:val="6"/>
        </w:numPr>
      </w:pPr>
      <w:r>
        <w:rPr>
          <w:rFonts w:eastAsia="Times New Roman"/>
        </w:rPr>
        <w:t>I</w:t>
      </w:r>
      <w:r>
        <w:rPr>
          <w:rFonts w:eastAsia="Times New Roman"/>
        </w:rPr>
        <w:t>n common</w:t>
      </w:r>
      <w:r>
        <w:rPr>
          <w:rFonts w:eastAsia="Times New Roman"/>
        </w:rPr>
        <w:t xml:space="preserve"> for all variety </w:t>
      </w:r>
      <w:proofErr w:type="gramStart"/>
      <w:r>
        <w:rPr>
          <w:rFonts w:eastAsia="Times New Roman"/>
        </w:rPr>
        <w:t>types</w:t>
      </w:r>
      <w:r>
        <w:rPr>
          <w:rFonts w:eastAsia="Times New Roman"/>
        </w:rPr>
        <w:t xml:space="preserve"> is</w:t>
      </w:r>
      <w:proofErr w:type="gramEnd"/>
      <w:r>
        <w:rPr>
          <w:rFonts w:eastAsia="Times New Roman"/>
        </w:rPr>
        <w:t>: setting breeding objective(s), generate genetic variation, develop variety parents (such as inbred lines of hybrids), evaluate experimental varieties, registration and maintenance of varieties</w:t>
      </w:r>
      <w:r>
        <w:rPr>
          <w:rFonts w:eastAsia="Times New Roman"/>
        </w:rPr>
        <w:t>.</w:t>
      </w:r>
    </w:p>
    <w:sectPr w:rsidR="00872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B210D"/>
    <w:multiLevelType w:val="hybridMultilevel"/>
    <w:tmpl w:val="26E0C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363E"/>
    <w:multiLevelType w:val="hybridMultilevel"/>
    <w:tmpl w:val="E842E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A713E"/>
    <w:multiLevelType w:val="hybridMultilevel"/>
    <w:tmpl w:val="90A8E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34898"/>
    <w:multiLevelType w:val="hybridMultilevel"/>
    <w:tmpl w:val="617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BF7"/>
    <w:multiLevelType w:val="hybridMultilevel"/>
    <w:tmpl w:val="A52056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C256D"/>
    <w:multiLevelType w:val="hybridMultilevel"/>
    <w:tmpl w:val="A63234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A5"/>
    <w:rsid w:val="001D36A5"/>
    <w:rsid w:val="004B65E4"/>
    <w:rsid w:val="005E5E65"/>
    <w:rsid w:val="00817C2F"/>
    <w:rsid w:val="008720ED"/>
    <w:rsid w:val="008869EB"/>
    <w:rsid w:val="0096409C"/>
    <w:rsid w:val="00A106A3"/>
    <w:rsid w:val="00A665D1"/>
    <w:rsid w:val="00AE7FDE"/>
    <w:rsid w:val="00B773DD"/>
    <w:rsid w:val="00BA6D82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6A3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F7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Lubberstedt, Thomas [AGRON]</dc:creator>
  <cp:lastModifiedBy>Lubberstedt, Thomas [AGRON]</cp:lastModifiedBy>
  <cp:revision>7</cp:revision>
  <dcterms:created xsi:type="dcterms:W3CDTF">2014-07-12T14:35:00Z</dcterms:created>
  <dcterms:modified xsi:type="dcterms:W3CDTF">2014-07-27T22:34:00Z</dcterms:modified>
</cp:coreProperties>
</file>