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A3" w:rsidRPr="006F58C0" w:rsidRDefault="001D36A5" w:rsidP="008F4CAE">
      <w:pPr>
        <w:rPr>
          <w:b/>
        </w:rPr>
      </w:pPr>
      <w:r w:rsidRPr="006F58C0">
        <w:rPr>
          <w:b/>
        </w:rPr>
        <w:t>ALA</w:t>
      </w:r>
      <w:r w:rsidR="007A2821" w:rsidRPr="006F58C0">
        <w:rPr>
          <w:b/>
        </w:rPr>
        <w:t>2.2</w:t>
      </w:r>
      <w:r w:rsidR="006F58C0" w:rsidRPr="006F58C0">
        <w:rPr>
          <w:b/>
        </w:rPr>
        <w:t xml:space="preserve"> Comparison of Single Nucleotide Polymorphism (SNP) marker det</w:t>
      </w:r>
      <w:r w:rsidR="006F58C0">
        <w:rPr>
          <w:b/>
        </w:rPr>
        <w:t>e</w:t>
      </w:r>
      <w:r w:rsidR="006F58C0" w:rsidRPr="006F58C0">
        <w:rPr>
          <w:b/>
        </w:rPr>
        <w:t>ction systems</w:t>
      </w:r>
      <w:r w:rsidRPr="006F58C0">
        <w:rPr>
          <w:b/>
        </w:rPr>
        <w:t xml:space="preserve"> </w:t>
      </w:r>
    </w:p>
    <w:p w:rsidR="0096409C" w:rsidRPr="006F58C0" w:rsidRDefault="006F58C0">
      <w:pPr>
        <w:rPr>
          <w:b/>
        </w:rPr>
      </w:pPr>
      <w:r w:rsidRPr="006F58C0">
        <w:rPr>
          <w:b/>
        </w:rPr>
        <w:t>Prerequisite</w:t>
      </w:r>
    </w:p>
    <w:p w:rsidR="006F58C0" w:rsidRDefault="001E5EB7" w:rsidP="006F58C0">
      <w:r>
        <w:t>Understanding of:</w:t>
      </w:r>
    </w:p>
    <w:p w:rsidR="001E5EB7" w:rsidRPr="00815B4E" w:rsidRDefault="001E5EB7" w:rsidP="001E5EB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815B4E">
        <w:rPr>
          <w:rFonts w:cs="Arial"/>
          <w:color w:val="000000"/>
        </w:rPr>
        <w:t>mportance of DNA sequence</w:t>
      </w:r>
      <w:r>
        <w:rPr>
          <w:rFonts w:cs="Arial"/>
          <w:color w:val="000000"/>
        </w:rPr>
        <w:t xml:space="preserve"> variation within species</w:t>
      </w:r>
    </w:p>
    <w:p w:rsidR="001E5EB7" w:rsidRDefault="001E5EB7" w:rsidP="001E5EB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cs="Arial"/>
          <w:color w:val="000000"/>
        </w:rPr>
      </w:pPr>
      <w:r w:rsidRPr="00815B4E">
        <w:rPr>
          <w:rFonts w:cs="Arial"/>
          <w:color w:val="000000"/>
        </w:rPr>
        <w:t>SNP and INDEL markers basics</w:t>
      </w:r>
    </w:p>
    <w:p w:rsidR="001E5EB7" w:rsidRPr="001E5EB7" w:rsidRDefault="001E5EB7" w:rsidP="006F58C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>
        <w:rPr>
          <w:rFonts w:cs="Arial"/>
          <w:color w:val="000000"/>
        </w:rPr>
        <w:t>asic applications of markers: fingerprinting and gene-tagging</w:t>
      </w:r>
    </w:p>
    <w:p w:rsidR="0096409C" w:rsidRPr="006F58C0" w:rsidRDefault="006F58C0">
      <w:pPr>
        <w:rPr>
          <w:b/>
        </w:rPr>
      </w:pPr>
      <w:bookmarkStart w:id="0" w:name="_GoBack"/>
      <w:bookmarkEnd w:id="0"/>
      <w:r>
        <w:rPr>
          <w:b/>
        </w:rPr>
        <w:t>Purpose</w:t>
      </w:r>
    </w:p>
    <w:p w:rsidR="001E5EB7" w:rsidRDefault="001E5EB7">
      <w:pPr>
        <w:rPr>
          <w:rFonts w:eastAsia="Times New Roman"/>
        </w:rPr>
      </w:pPr>
      <w:r>
        <w:rPr>
          <w:rFonts w:eastAsia="Times New Roman"/>
        </w:rPr>
        <w:t>To provide an in depth understanding of selected SNP marker detection systems, and to identify which criteria are relevant for comparing different marker assay options</w:t>
      </w:r>
    </w:p>
    <w:p w:rsidR="006F58C0" w:rsidRPr="006F58C0" w:rsidRDefault="006F58C0">
      <w:pPr>
        <w:rPr>
          <w:b/>
        </w:rPr>
      </w:pPr>
      <w:r w:rsidRPr="006F58C0">
        <w:rPr>
          <w:b/>
        </w:rPr>
        <w:t xml:space="preserve">Background </w:t>
      </w:r>
    </w:p>
    <w:p w:rsidR="006F58C0" w:rsidRDefault="006F58C0">
      <w:r>
        <w:t xml:space="preserve">During the past 10-20 years, a multitude of different SNP marker detection assays have been developed. None of these assays </w:t>
      </w:r>
      <w:r w:rsidR="001E5EB7">
        <w:t>is optimal for all applications because</w:t>
      </w:r>
      <w:r>
        <w:t xml:space="preserve"> all have strengths and weaknesses. It is thus important to understand the main characteristics of SNP marker assays, in order to make the best choice for any given application.</w:t>
      </w:r>
    </w:p>
    <w:p w:rsidR="0096409C" w:rsidRPr="006F58C0" w:rsidRDefault="0096409C">
      <w:pPr>
        <w:rPr>
          <w:b/>
        </w:rPr>
      </w:pPr>
      <w:r w:rsidRPr="006F58C0">
        <w:rPr>
          <w:b/>
        </w:rPr>
        <w:t>Tasks</w:t>
      </w:r>
    </w:p>
    <w:p w:rsidR="0096409C" w:rsidRDefault="006F58C0">
      <w:r>
        <w:t xml:space="preserve">This ALA depends on either access to the internet (preferable), or articles to be provided </w:t>
      </w:r>
      <w:r w:rsidR="00F150BC">
        <w:t xml:space="preserve">by the instructor. </w:t>
      </w:r>
    </w:p>
    <w:p w:rsidR="00F150BC" w:rsidRDefault="00F150BC" w:rsidP="00F150BC">
      <w:pPr>
        <w:pStyle w:val="ListParagraph"/>
        <w:numPr>
          <w:ilvl w:val="0"/>
          <w:numId w:val="3"/>
        </w:numPr>
        <w:contextualSpacing/>
      </w:pPr>
      <w:r w:rsidRPr="00F150BC">
        <w:t xml:space="preserve">Add the properties of </w:t>
      </w:r>
      <w:r>
        <w:t xml:space="preserve">SNP </w:t>
      </w:r>
      <w:r w:rsidRPr="00F150BC">
        <w:t xml:space="preserve">marker </w:t>
      </w:r>
      <w:r>
        <w:t>assays</w:t>
      </w:r>
      <w:r w:rsidRPr="00F150BC">
        <w:t xml:space="preserve"> to the table </w:t>
      </w:r>
      <w:r>
        <w:t xml:space="preserve">below (one table per marker system). Fill out this table for a) </w:t>
      </w:r>
      <w:proofErr w:type="spellStart"/>
      <w:r>
        <w:t>Taqman</w:t>
      </w:r>
      <w:proofErr w:type="spellEnd"/>
      <w:r>
        <w:t xml:space="preserve"> assay, b) </w:t>
      </w:r>
      <w:proofErr w:type="spellStart"/>
      <w:r>
        <w:t>Sequenome</w:t>
      </w:r>
      <w:proofErr w:type="spellEnd"/>
      <w:r>
        <w:t xml:space="preserve"> assay, c) a SNP assay of your choice.</w:t>
      </w:r>
    </w:p>
    <w:p w:rsidR="00F150BC" w:rsidRDefault="00F150BC" w:rsidP="00F150BC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F150BC" w:rsidRPr="009F2E61" w:rsidTr="00BD1550">
        <w:tc>
          <w:tcPr>
            <w:tcW w:w="3227" w:type="dxa"/>
            <w:tcBorders>
              <w:top w:val="single" w:sz="18" w:space="0" w:color="000000"/>
              <w:bottom w:val="single" w:sz="18" w:space="0" w:color="000000"/>
            </w:tcBorders>
          </w:tcPr>
          <w:p w:rsidR="00F150BC" w:rsidRPr="009F2E61" w:rsidRDefault="00F150BC" w:rsidP="00BD1550">
            <w:pPr>
              <w:spacing w:after="0" w:line="240" w:lineRule="auto"/>
              <w:jc w:val="center"/>
            </w:pPr>
            <w:r w:rsidRPr="009F2E61">
              <w:t>Properties</w:t>
            </w:r>
          </w:p>
        </w:tc>
        <w:tc>
          <w:tcPr>
            <w:tcW w:w="6015" w:type="dxa"/>
            <w:tcBorders>
              <w:top w:val="single" w:sz="18" w:space="0" w:color="000000"/>
              <w:bottom w:val="single" w:sz="18" w:space="0" w:color="000000"/>
            </w:tcBorders>
          </w:tcPr>
          <w:p w:rsidR="00F150BC" w:rsidRPr="009F2E61" w:rsidRDefault="00F150BC" w:rsidP="00BD1550">
            <w:pPr>
              <w:spacing w:after="0" w:line="240" w:lineRule="auto"/>
              <w:jc w:val="center"/>
            </w:pPr>
            <w:r w:rsidRPr="009F2E61">
              <w:t>Marker System</w:t>
            </w:r>
          </w:p>
        </w:tc>
      </w:tr>
      <w:tr w:rsidR="00F150BC" w:rsidRPr="008B6DE0" w:rsidTr="00BD1550">
        <w:tc>
          <w:tcPr>
            <w:tcW w:w="3227" w:type="dxa"/>
            <w:tcBorders>
              <w:top w:val="single" w:sz="18" w:space="0" w:color="000000"/>
            </w:tcBorders>
          </w:tcPr>
          <w:p w:rsidR="00F150BC" w:rsidRPr="008B6DE0" w:rsidRDefault="00F150BC" w:rsidP="00BD155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 xml:space="preserve">Costs per </w:t>
            </w:r>
            <w:proofErr w:type="spellStart"/>
            <w:r w:rsidRPr="008B6DE0">
              <w:rPr>
                <w:b/>
                <w:color w:val="FF0000"/>
              </w:rPr>
              <w:t>Datapoint</w:t>
            </w:r>
            <w:proofErr w:type="spellEnd"/>
            <w:r w:rsidRPr="008B6DE0">
              <w:rPr>
                <w:b/>
                <w:color w:val="FF0000"/>
              </w:rPr>
              <w:t xml:space="preserve"> (DNA, 1 equipment available, no salary)</w:t>
            </w:r>
          </w:p>
        </w:tc>
        <w:tc>
          <w:tcPr>
            <w:tcW w:w="6015" w:type="dxa"/>
            <w:tcBorders>
              <w:top w:val="single" w:sz="18" w:space="0" w:color="000000"/>
            </w:tcBorders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In $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10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9600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b/>
                <w:color w:val="FF0000"/>
              </w:rPr>
              <w:t xml:space="preserve">Time per </w:t>
            </w:r>
            <w:proofErr w:type="spellStart"/>
            <w:r w:rsidRPr="008B6DE0">
              <w:rPr>
                <w:b/>
                <w:color w:val="FF0000"/>
              </w:rPr>
              <w:t>Datapoint</w:t>
            </w:r>
            <w:proofErr w:type="spellEnd"/>
            <w:r w:rsidRPr="008B6DE0">
              <w:rPr>
                <w:b/>
                <w:color w:val="FF0000"/>
              </w:rPr>
              <w:t xml:space="preserve"> (DNA, 1 equipment available, 1 person)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In hours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10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9600 samples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For 1-10-100-1000-10000 markers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522B55" w:rsidRDefault="00F150BC" w:rsidP="00BD15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 per </w:t>
            </w:r>
            <w:proofErr w:type="spellStart"/>
            <w:r>
              <w:rPr>
                <w:b/>
              </w:rPr>
              <w:t>Datapoint</w:t>
            </w:r>
            <w:proofErr w:type="spellEnd"/>
            <w:r>
              <w:rPr>
                <w:b/>
              </w:rPr>
              <w:t xml:space="preserve"> post assay for preparing data matrix</w:t>
            </w:r>
          </w:p>
        </w:tc>
        <w:tc>
          <w:tcPr>
            <w:tcW w:w="6015" w:type="dxa"/>
          </w:tcPr>
          <w:p w:rsidR="00F150BC" w:rsidRDefault="00F150BC" w:rsidP="00BD1550">
            <w:pPr>
              <w:spacing w:after="0" w:line="240" w:lineRule="auto"/>
            </w:pP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>Multiplex size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No. of markers per multiplex</w:t>
            </w: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lastRenderedPageBreak/>
              <w:t>Multiplexing flexibility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Low to high</w:t>
            </w: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>Costs for special equipment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In $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E24AB3" w:rsidRDefault="00F150BC" w:rsidP="00BD1550">
            <w:pPr>
              <w:spacing w:after="0" w:line="240" w:lineRule="auto"/>
              <w:rPr>
                <w:b/>
              </w:rPr>
            </w:pPr>
            <w:r w:rsidRPr="00E24AB3">
              <w:rPr>
                <w:b/>
              </w:rPr>
              <w:t xml:space="preserve">Service: costs per </w:t>
            </w:r>
            <w:proofErr w:type="spellStart"/>
            <w:r w:rsidRPr="00E24AB3">
              <w:rPr>
                <w:b/>
              </w:rPr>
              <w:t>datapoint</w:t>
            </w:r>
            <w:proofErr w:type="spellEnd"/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In $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13D32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213D32">
              <w:rPr>
                <w:b/>
                <w:color w:val="FF0000"/>
              </w:rPr>
              <w:t>Automatization</w:t>
            </w:r>
            <w:proofErr w:type="spellEnd"/>
            <w:r w:rsidRPr="00213D32">
              <w:rPr>
                <w:b/>
                <w:color w:val="FF0000"/>
              </w:rPr>
              <w:t xml:space="preserve"> capability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13D32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213D32">
              <w:rPr>
                <w:b/>
                <w:color w:val="FF0000"/>
              </w:rPr>
              <w:t xml:space="preserve">Set-up costs (e.g., </w:t>
            </w:r>
            <w:proofErr w:type="spellStart"/>
            <w:r w:rsidRPr="00213D32">
              <w:rPr>
                <w:b/>
                <w:color w:val="FF0000"/>
              </w:rPr>
              <w:t>Affy</w:t>
            </w:r>
            <w:proofErr w:type="spellEnd"/>
            <w:r w:rsidRPr="00213D32">
              <w:rPr>
                <w:b/>
                <w:color w:val="FF0000"/>
              </w:rPr>
              <w:t>.-Array)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Yes or no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13D32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213D32">
              <w:rPr>
                <w:b/>
                <w:color w:val="FF0000"/>
              </w:rPr>
              <w:t>Target sequence requirement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No, 1 allele, 2 or more alleles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B50881" w:rsidRDefault="00F150BC" w:rsidP="00BD1550">
            <w:pPr>
              <w:spacing w:after="0" w:line="240" w:lineRule="auto"/>
              <w:rPr>
                <w:b/>
              </w:rPr>
            </w:pPr>
            <w:r w:rsidRPr="00B50881">
              <w:rPr>
                <w:b/>
              </w:rPr>
              <w:t>Ease to use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</w:tr>
      <w:tr w:rsidR="00F150BC" w:rsidRPr="009F2E61" w:rsidTr="00BD1550">
        <w:tc>
          <w:tcPr>
            <w:tcW w:w="3227" w:type="dxa"/>
          </w:tcPr>
          <w:p w:rsidR="00F150BC" w:rsidRPr="002E0029" w:rsidRDefault="00F150BC" w:rsidP="00BD1550">
            <w:pPr>
              <w:spacing w:after="0" w:line="240" w:lineRule="auto"/>
              <w:rPr>
                <w:b/>
              </w:rPr>
            </w:pPr>
            <w:r w:rsidRPr="002E0029">
              <w:rPr>
                <w:b/>
              </w:rPr>
              <w:t>Reproducibility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 (or %, if available)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E0029" w:rsidRDefault="00F150BC" w:rsidP="00BD1550">
            <w:pPr>
              <w:spacing w:after="0" w:line="240" w:lineRule="auto"/>
              <w:rPr>
                <w:b/>
              </w:rPr>
            </w:pPr>
            <w:r w:rsidRPr="002E0029">
              <w:rPr>
                <w:b/>
              </w:rPr>
              <w:t>Sensitivity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E0029" w:rsidRDefault="00F150BC" w:rsidP="00BD1550">
            <w:pPr>
              <w:spacing w:after="0" w:line="240" w:lineRule="auto"/>
              <w:rPr>
                <w:b/>
              </w:rPr>
            </w:pPr>
            <w:r w:rsidRPr="002E0029">
              <w:rPr>
                <w:b/>
              </w:rPr>
              <w:t>Robustness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2E0029" w:rsidRDefault="00F150BC" w:rsidP="00BD1550">
            <w:pPr>
              <w:spacing w:after="0" w:line="240" w:lineRule="auto"/>
              <w:rPr>
                <w:b/>
              </w:rPr>
            </w:pPr>
            <w:r w:rsidRPr="002E0029">
              <w:rPr>
                <w:b/>
              </w:rPr>
              <w:t>DNA requir</w:t>
            </w:r>
            <w:r>
              <w:rPr>
                <w:b/>
              </w:rPr>
              <w:t>e</w:t>
            </w:r>
            <w:r w:rsidRPr="002E0029">
              <w:rPr>
                <w:b/>
              </w:rPr>
              <w:t>ments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 quality; costs &amp; time per DNA sample; DNA amount/assay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 xml:space="preserve">Dominant / </w:t>
            </w:r>
            <w:proofErr w:type="spellStart"/>
            <w:r w:rsidRPr="008B6DE0">
              <w:rPr>
                <w:b/>
                <w:color w:val="FF0000"/>
              </w:rPr>
              <w:t>codominant</w:t>
            </w:r>
            <w:proofErr w:type="spellEnd"/>
            <w:r w:rsidRPr="008B6DE0">
              <w:rPr>
                <w:b/>
                <w:color w:val="FF0000"/>
              </w:rPr>
              <w:t xml:space="preserve"> system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 xml:space="preserve">Dominant or </w:t>
            </w:r>
            <w:proofErr w:type="spellStart"/>
            <w:r w:rsidRPr="008B6DE0">
              <w:rPr>
                <w:color w:val="FF0000"/>
              </w:rPr>
              <w:t>codominant</w:t>
            </w:r>
            <w:proofErr w:type="spellEnd"/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>Number of alleles per marker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2, 4, multiple</w:t>
            </w: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>Detection of rare alleles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Yes or no</w:t>
            </w:r>
          </w:p>
        </w:tc>
      </w:tr>
      <w:tr w:rsidR="00F150BC" w:rsidRPr="008B6DE0" w:rsidTr="00BD1550">
        <w:tc>
          <w:tcPr>
            <w:tcW w:w="3227" w:type="dxa"/>
          </w:tcPr>
          <w:p w:rsidR="00F150BC" w:rsidRPr="008B6DE0" w:rsidRDefault="00F150BC" w:rsidP="00BD1550">
            <w:pPr>
              <w:spacing w:after="0" w:line="240" w:lineRule="auto"/>
              <w:rPr>
                <w:b/>
                <w:color w:val="FF0000"/>
              </w:rPr>
            </w:pPr>
            <w:r w:rsidRPr="008B6DE0">
              <w:rPr>
                <w:b/>
                <w:color w:val="FF0000"/>
              </w:rPr>
              <w:t>Underlying polymorphism</w:t>
            </w:r>
          </w:p>
        </w:tc>
        <w:tc>
          <w:tcPr>
            <w:tcW w:w="6015" w:type="dxa"/>
          </w:tcPr>
          <w:p w:rsidR="00F150BC" w:rsidRPr="008B6DE0" w:rsidRDefault="00F150BC" w:rsidP="00BD1550">
            <w:pPr>
              <w:spacing w:after="0" w:line="240" w:lineRule="auto"/>
              <w:rPr>
                <w:color w:val="FF0000"/>
              </w:rPr>
            </w:pPr>
            <w:r w:rsidRPr="008B6DE0">
              <w:rPr>
                <w:color w:val="FF0000"/>
              </w:rPr>
              <w:t>SNP, INDEL, SSR, Restriction site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B12D6A" w:rsidRDefault="00F150BC" w:rsidP="00BD1550">
            <w:pPr>
              <w:spacing w:after="0" w:line="240" w:lineRule="auto"/>
              <w:rPr>
                <w:b/>
              </w:rPr>
            </w:pPr>
            <w:r w:rsidRPr="00B12D6A">
              <w:rPr>
                <w:b/>
              </w:rPr>
              <w:t>Level of polymorphism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Expected polymorphic information content / marker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D65B58" w:rsidRDefault="00F150BC" w:rsidP="00BD1550">
            <w:pPr>
              <w:spacing w:after="0" w:line="240" w:lineRule="auto"/>
              <w:rPr>
                <w:b/>
              </w:rPr>
            </w:pPr>
            <w:r w:rsidRPr="00D65B58">
              <w:rPr>
                <w:b/>
              </w:rPr>
              <w:t>Stability (mutation)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D65B58" w:rsidRDefault="00F150BC" w:rsidP="00BD1550">
            <w:pPr>
              <w:spacing w:after="0" w:line="240" w:lineRule="auto"/>
              <w:rPr>
                <w:b/>
              </w:rPr>
            </w:pPr>
            <w:r w:rsidRPr="00D65B58">
              <w:rPr>
                <w:b/>
              </w:rPr>
              <w:t>Species Transferability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37356C" w:rsidRDefault="00F150BC" w:rsidP="00BD1550">
            <w:pPr>
              <w:spacing w:after="0" w:line="240" w:lineRule="auto"/>
              <w:rPr>
                <w:b/>
              </w:rPr>
            </w:pPr>
            <w:r w:rsidRPr="0037356C">
              <w:rPr>
                <w:b/>
              </w:rPr>
              <w:t>Gene / target specificity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Yes or no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B50881" w:rsidRDefault="00F150BC" w:rsidP="00BD1550">
            <w:pPr>
              <w:spacing w:after="0" w:line="240" w:lineRule="auto"/>
              <w:rPr>
                <w:b/>
              </w:rPr>
            </w:pPr>
            <w:r w:rsidRPr="00B50881">
              <w:rPr>
                <w:b/>
              </w:rPr>
              <w:t>Genome coverage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Even – uneven; Low to high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</w:p>
        </w:tc>
      </w:tr>
      <w:tr w:rsidR="00F150BC" w:rsidRPr="009F2E61" w:rsidTr="00BD1550">
        <w:tc>
          <w:tcPr>
            <w:tcW w:w="3227" w:type="dxa"/>
          </w:tcPr>
          <w:p w:rsidR="00F150BC" w:rsidRPr="00AF4876" w:rsidRDefault="00F150BC" w:rsidP="00BD1550">
            <w:pPr>
              <w:spacing w:after="0" w:line="240" w:lineRule="auto"/>
              <w:rPr>
                <w:b/>
              </w:rPr>
            </w:pPr>
            <w:r w:rsidRPr="00AF4876">
              <w:rPr>
                <w:b/>
              </w:rPr>
              <w:t>Ability to detect epigenetic changes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 xml:space="preserve">Yes or no </w:t>
            </w:r>
          </w:p>
        </w:tc>
      </w:tr>
      <w:tr w:rsidR="00F150BC" w:rsidRPr="009F2E61" w:rsidTr="00BD1550">
        <w:tc>
          <w:tcPr>
            <w:tcW w:w="3227" w:type="dxa"/>
          </w:tcPr>
          <w:p w:rsidR="00F150BC" w:rsidRPr="00AF4876" w:rsidRDefault="00F150BC" w:rsidP="00BD1550">
            <w:pPr>
              <w:spacing w:after="0" w:line="240" w:lineRule="auto"/>
              <w:rPr>
                <w:b/>
              </w:rPr>
            </w:pPr>
            <w:r w:rsidRPr="00AF4876">
              <w:rPr>
                <w:b/>
              </w:rPr>
              <w:t>Ability to detect transcript variation</w:t>
            </w:r>
          </w:p>
        </w:tc>
        <w:tc>
          <w:tcPr>
            <w:tcW w:w="6015" w:type="dxa"/>
          </w:tcPr>
          <w:p w:rsidR="00F150BC" w:rsidRPr="009F2E61" w:rsidRDefault="00F150BC" w:rsidP="00BD1550">
            <w:pPr>
              <w:spacing w:after="0" w:line="240" w:lineRule="auto"/>
            </w:pPr>
            <w:r>
              <w:t>Yes or no</w:t>
            </w:r>
          </w:p>
        </w:tc>
      </w:tr>
    </w:tbl>
    <w:p w:rsidR="00F150BC" w:rsidRDefault="00F150BC" w:rsidP="00F150BC">
      <w:pPr>
        <w:contextualSpacing/>
      </w:pPr>
    </w:p>
    <w:p w:rsidR="001E5EB7" w:rsidRDefault="00F150BC" w:rsidP="005A1247">
      <w:pPr>
        <w:pStyle w:val="ListParagraph"/>
        <w:numPr>
          <w:ilvl w:val="0"/>
          <w:numId w:val="3"/>
        </w:numPr>
        <w:spacing w:after="200" w:line="276" w:lineRule="auto"/>
        <w:ind w:left="360"/>
        <w:contextualSpacing/>
      </w:pPr>
      <w:r>
        <w:t>D</w:t>
      </w:r>
      <w:r w:rsidRPr="00F150BC">
        <w:t xml:space="preserve">escribe strengths and weaknesses of </w:t>
      </w:r>
      <w:r>
        <w:t>the three</w:t>
      </w:r>
      <w:r w:rsidRPr="00F150BC">
        <w:t xml:space="preserve"> marker systems </w:t>
      </w:r>
      <w:r>
        <w:t xml:space="preserve">that you are </w:t>
      </w:r>
      <w:r w:rsidRPr="00F150BC">
        <w:t>compar</w:t>
      </w:r>
      <w:r>
        <w:t>ing</w:t>
      </w:r>
      <w:r w:rsidRPr="00F150BC">
        <w:t>.</w:t>
      </w:r>
    </w:p>
    <w:p w:rsidR="004F510F" w:rsidRPr="001E5EB7" w:rsidRDefault="001E5EB7" w:rsidP="005A1247">
      <w:pPr>
        <w:pStyle w:val="ListParagraph"/>
        <w:numPr>
          <w:ilvl w:val="0"/>
          <w:numId w:val="3"/>
        </w:numPr>
        <w:spacing w:after="200" w:line="276" w:lineRule="auto"/>
        <w:ind w:left="360"/>
        <w:contextualSpacing/>
      </w:pPr>
      <w:r w:rsidRPr="001E5EB7">
        <w:rPr>
          <w:rFonts w:eastAsia="Times New Roman"/>
        </w:rPr>
        <w:t>Provide arguments as to which marker system is preferred for a marker-assisted backcrossing procedure for tracking the target gene(s), and which is preferred for fingerprinting to monitor the background genome composition.</w:t>
      </w:r>
    </w:p>
    <w:p w:rsidR="005A1247" w:rsidRDefault="005A1247" w:rsidP="005A1247">
      <w:r w:rsidRPr="00BA6D82">
        <w:rPr>
          <w:b/>
        </w:rPr>
        <w:t>Tentative answers</w:t>
      </w:r>
      <w:r>
        <w:t xml:space="preserve"> (can differ, based on context / assumptions made)</w:t>
      </w:r>
    </w:p>
    <w:p w:rsidR="004276C7" w:rsidRDefault="004276C7"/>
    <w:sectPr w:rsidR="0042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19DF"/>
    <w:multiLevelType w:val="hybridMultilevel"/>
    <w:tmpl w:val="315AD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5BB"/>
    <w:multiLevelType w:val="hybridMultilevel"/>
    <w:tmpl w:val="F4889E9C"/>
    <w:lvl w:ilvl="0" w:tplc="52725D44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3A8F"/>
    <w:multiLevelType w:val="multilevel"/>
    <w:tmpl w:val="956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5"/>
    <w:rsid w:val="001D36A5"/>
    <w:rsid w:val="001E5EB7"/>
    <w:rsid w:val="004276C7"/>
    <w:rsid w:val="004B65E4"/>
    <w:rsid w:val="004F510F"/>
    <w:rsid w:val="005A1247"/>
    <w:rsid w:val="006F58C0"/>
    <w:rsid w:val="007A2821"/>
    <w:rsid w:val="008F4CAE"/>
    <w:rsid w:val="0096409C"/>
    <w:rsid w:val="00A106A3"/>
    <w:rsid w:val="00C9063E"/>
    <w:rsid w:val="00F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0E7DF-34A2-41D3-87FD-99942BA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7</cp:revision>
  <dcterms:created xsi:type="dcterms:W3CDTF">2014-07-12T16:20:00Z</dcterms:created>
  <dcterms:modified xsi:type="dcterms:W3CDTF">2014-12-01T13:45:00Z</dcterms:modified>
</cp:coreProperties>
</file>